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Default="00FA651A" w:rsidP="00734225">
      <w:pPr>
        <w:jc w:val="center"/>
        <w:rPr>
          <w:b/>
        </w:rPr>
      </w:pPr>
      <w:r w:rsidRPr="00FA651A">
        <w:rPr>
          <w:b/>
        </w:rPr>
        <w:t>Wymagania edukacyjne na poszczególne oceny</w:t>
      </w:r>
      <w:r w:rsidR="00734225">
        <w:rPr>
          <w:b/>
        </w:rPr>
        <w:t xml:space="preserve"> - Klasa VI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globusierównik, południki 0° i 180° orazpółkule: południową, północną,wschodnią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demonstruje ruch obiegowy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oświetleniuZiemi w pierwszych dniachastronomicznych pór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wyjaśnia, na jakiej podstawiewyróżnia się strefy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oświetleniaZiemi z uwzględnieniem kątapadania promieni słonecznych,czasu trwania dnia i 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położeniemgeograficznym 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ruchemobiegowym Ziemi a strefami jejoświetlenia oraz strefowymzróżnicowaniem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politycznejnajwiększe i najmniejsze państwaEuropy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ludówzamieszkujących Europę napodstawie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geograficzneIslandii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zróżnicowaniejęzykowe ludności Europyna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kraje imigracyjne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krajeemigracyjne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ukształtowaniepowierzchni Europy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świeciena podstawie mapy geologiczneji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przyczynyzróżnicowania narodowościowegoi językowego ludności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cechyśrodowiska przyrodniczego Daniii Węgier na podstawie mapyogólnogeograficznej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hodowlaneo największym znaczeniudla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przyrodniczeEuropy Południowej na podstawiemapy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cechyśrodowiska przyrodniczegoDanii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sprzyjającerozwojowi rolnictwa na podstawiemap ogólnogeograficznychi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rozmieszczenienajważniejszych uprawi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Węgrzechna podstawie map rolnictwatych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wykorzystaniuźródeł energii w Europie w XXi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rolnictwaDanii i Węgier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nowoczesnychusług we Francji na podstawiediagramów przedstawiającychstrukturę zatrudnienia wedługsektorów oraz strukturęwytwarzania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turystykina 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Europiewystępują korzystne warunkiprzyrodnicze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pozytywnei negatywne skutki rozwojunowoczesnego rolnictwaw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geograficzneUkrainy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rozpoznaje obiekty z Listyświatowego dziedzictwa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nadktórymi Ukraina utraciła kontrolę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gałęzieprzemysłu Rosji na podstawiemapy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roślinyuprawne w Rosji na podstawiemapy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przemyśle w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Niemczechna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środowiskoprzyrodnicze Czechi Słowacji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nowoczesneprzetwórstwo 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przyrodniczeLitwy i Białorusi na podstawiemapy ogólnogeograficzneji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lokalizacjigłównych okręgówprzemysłowych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udowadnia, że Niemcy sąświatową potęgą gospodarczą napodstawie danych statystycznychoraz map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konsekwencjegospodarcze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atrakcjeturystyczne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734225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A651A"/>
    <w:rsid w:val="000C03A7"/>
    <w:rsid w:val="00342394"/>
    <w:rsid w:val="004C652A"/>
    <w:rsid w:val="00503A73"/>
    <w:rsid w:val="005143A4"/>
    <w:rsid w:val="00527076"/>
    <w:rsid w:val="00642C92"/>
    <w:rsid w:val="00714876"/>
    <w:rsid w:val="00734225"/>
    <w:rsid w:val="00900F33"/>
    <w:rsid w:val="00E84D66"/>
    <w:rsid w:val="00FA651A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HP</cp:lastModifiedBy>
  <cp:revision>3</cp:revision>
  <dcterms:created xsi:type="dcterms:W3CDTF">2022-10-25T11:36:00Z</dcterms:created>
  <dcterms:modified xsi:type="dcterms:W3CDTF">2022-10-25T11:40:00Z</dcterms:modified>
</cp:coreProperties>
</file>