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706CF" w14:textId="176B88B9" w:rsidR="00A302AB" w:rsidRPr="00E930E2" w:rsidRDefault="00A302AB" w:rsidP="00A302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77ABC"/>
          <w:sz w:val="44"/>
          <w:szCs w:val="48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 Z MATEMATYKI. KLASA 4</w:t>
      </w:r>
    </w:p>
    <w:p w14:paraId="641D173A" w14:textId="77777777" w:rsidR="00A302AB" w:rsidRPr="00E6049B" w:rsidRDefault="00A302AB" w:rsidP="00A302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 xml:space="preserve">- porównuje różnicowo </w:t>
            </w:r>
            <w:r w:rsidRPr="00834D4B">
              <w:lastRenderedPageBreak/>
              <w:t>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 xml:space="preserve">- stosuje porównywanie </w:t>
            </w:r>
            <w:r>
              <w:lastRenderedPageBreak/>
              <w:t>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wyrażeniach o skomplikowanej </w:t>
            </w:r>
            <w:r w:rsidRPr="00834D4B">
              <w:lastRenderedPageBreak/>
              <w:t>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lastRenderedPageBreak/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>- odczytuje liczby naturalne wielocyfrowe 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  <w:r w:rsidRPr="00834D4B">
              <w:lastRenderedPageBreak/>
              <w:t>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lastRenderedPageBreak/>
              <w:t>- odczytuje liczby naturalne 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t xml:space="preserve">- </w:t>
            </w:r>
            <w:r w:rsidRPr="00834D4B">
              <w:t xml:space="preserve">zapisuje liczby </w:t>
            </w:r>
            <w:r w:rsidRPr="00834D4B">
              <w:lastRenderedPageBreak/>
              <w:t>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lastRenderedPageBreak/>
              <w:t>- odczytuje liczby naturalne 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t xml:space="preserve">- </w:t>
            </w:r>
            <w:r w:rsidRPr="00834D4B">
              <w:t xml:space="preserve">zapisuje liczby naturalne </w:t>
            </w:r>
            <w:r w:rsidRPr="00834D4B">
              <w:lastRenderedPageBreak/>
              <w:t xml:space="preserve">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lastRenderedPageBreak/>
              <w:t>- buduje liczby o podanych własnościach w 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>- zamienia jednostki długości, np. metry na centymetry, 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 xml:space="preserve">- zamienia jednostki masy, np. kilogramy </w:t>
            </w:r>
            <w:r w:rsidRPr="00834D4B">
              <w:lastRenderedPageBreak/>
              <w:t>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lastRenderedPageBreak/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w sytuacjach </w:t>
            </w:r>
            <w:r w:rsidRPr="00834D4B">
              <w:lastRenderedPageBreak/>
              <w:t>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>- wykonuje obliczenia kalendarzowe na dniach, tygodniach, miesiącach, latach w sytuacjach 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t>- wykonuje obliczenia kalendarzowe na dniach, tygodniach, miesiącach, latach w sytuacjach 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 xml:space="preserve">- wykonuje proste obliczenia zegarowe na godzinach, </w:t>
            </w:r>
            <w:r w:rsidRPr="00834D4B">
              <w:lastRenderedPageBreak/>
              <w:t>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lastRenderedPageBreak/>
              <w:t xml:space="preserve">- wykonuje obliczenia zegarowe na godzinach, </w:t>
            </w:r>
            <w:r w:rsidRPr="00834D4B">
              <w:lastRenderedPageBreak/>
              <w:t>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lastRenderedPageBreak/>
              <w:t xml:space="preserve">- wykonuje obliczenia zegarowe na godzinach, </w:t>
            </w:r>
            <w:r w:rsidRPr="00834D4B">
              <w:lastRenderedPageBreak/>
              <w:t>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t xml:space="preserve">- </w:t>
            </w:r>
            <w:r w:rsidRPr="00834D4B">
              <w:t xml:space="preserve">prawidłowo stosuje jednostki </w:t>
            </w:r>
            <w:r w:rsidRPr="00834D4B">
              <w:lastRenderedPageBreak/>
              <w:t>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>- rozpoznaje 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>- zna pojęcie 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 xml:space="preserve">- oblicza obwód wielokąta o danych </w:t>
            </w:r>
            <w:r w:rsidRPr="00834D4B">
              <w:lastRenderedPageBreak/>
              <w:t>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 xml:space="preserve">- stosuje wzór na obwód kwadratu, </w:t>
            </w:r>
            <w:r w:rsidRPr="00834D4B">
              <w:lastRenderedPageBreak/>
              <w:t>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 xml:space="preserve">- stosuje wzór na obwód kwadratu, prostokąta w </w:t>
            </w:r>
            <w:r w:rsidRPr="00834D4B">
              <w:lastRenderedPageBreak/>
              <w:t>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pisemne przez 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t>- mnoży liczbę naturalną 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>- stosuje mnożenie 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 xml:space="preserve">- dzieli liczbę naturalną przez liczbę naturalną </w:t>
            </w:r>
            <w:r w:rsidRPr="00834D4B">
              <w:lastRenderedPageBreak/>
              <w:t>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 xml:space="preserve">- stosuje dzielenie liczby naturalnej </w:t>
            </w:r>
            <w:r w:rsidRPr="00834D4B">
              <w:lastRenderedPageBreak/>
              <w:t>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lastRenderedPageBreak/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lastRenderedPageBreak/>
              <w:t xml:space="preserve">- wskazuje na </w:t>
            </w:r>
            <w:r w:rsidRPr="00834D4B">
              <w:lastRenderedPageBreak/>
              <w:t>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lastRenderedPageBreak/>
              <w:t xml:space="preserve">- oblicza długość </w:t>
            </w:r>
            <w:r>
              <w:lastRenderedPageBreak/>
              <w:t>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lastRenderedPageBreak/>
              <w:t xml:space="preserve">- wykorzystuje </w:t>
            </w:r>
            <w:r>
              <w:lastRenderedPageBreak/>
              <w:t>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 xml:space="preserve">- opisuje część danej całości za pomocą </w:t>
            </w:r>
            <w:r w:rsidRPr="00834D4B">
              <w:lastRenderedPageBreak/>
              <w:t>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lastRenderedPageBreak/>
              <w:t xml:space="preserve">- zapisuje ułamki zapisane słownie z </w:t>
            </w:r>
            <w:r>
              <w:lastRenderedPageBreak/>
              <w:t>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odczytuje ułamki zwykłe zaznaczone </w:t>
            </w:r>
            <w:r w:rsidRPr="00834D4B">
              <w:lastRenderedPageBreak/>
              <w:t>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 xml:space="preserve">- zamienia liczbę mieszaną na </w:t>
            </w:r>
            <w:r w:rsidRPr="00834D4B">
              <w:lastRenderedPageBreak/>
              <w:t>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>o jednakowych 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Odejmowanie ułamków o </w:t>
            </w:r>
            <w:r w:rsidRPr="00320B6F">
              <w:rPr>
                <w:b/>
              </w:rPr>
              <w:lastRenderedPageBreak/>
              <w:t>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 xml:space="preserve">- odejmuje ułamki </w:t>
            </w:r>
            <w:r w:rsidRPr="00834D4B">
              <w:lastRenderedPageBreak/>
              <w:t>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lastRenderedPageBreak/>
              <w:t xml:space="preserve">- różnicę zapisuje w </w:t>
            </w:r>
            <w:r w:rsidRPr="00834D4B">
              <w:lastRenderedPageBreak/>
              <w:t>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lastRenderedPageBreak/>
              <w:t xml:space="preserve">- do rozwiązywania </w:t>
            </w:r>
            <w:r w:rsidRPr="00834D4B">
              <w:lastRenderedPageBreak/>
              <w:t>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>- zamienia jednostki długości: metr, 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t>- stosuje jednostki pola: m², cm², km², 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>- dostrzega zależność między jednostkami 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 xml:space="preserve">stosuje jednostki </w:t>
            </w:r>
            <w:r w:rsidRPr="00834D4B">
              <w:lastRenderedPageBreak/>
              <w:t>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lastRenderedPageBreak/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 xml:space="preserve">- zamienia i prawidłowo stosuje jednostki długości: metr,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lastRenderedPageBreak/>
              <w:t>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lastRenderedPageBreak/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 xml:space="preserve">zapisuje wyrażenia dwumianowane w postaci ułamka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lastRenderedPageBreak/>
              <w:t>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t xml:space="preserve">- </w:t>
            </w:r>
            <w:r w:rsidRPr="00834D4B">
              <w:t>odejmuje ułamki 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t xml:space="preserve">- </w:t>
            </w:r>
            <w:r w:rsidRPr="00834D4B">
              <w:t>odejmuje ułamki 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>odejmuje ułamki 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t>- r</w:t>
            </w:r>
            <w:r w:rsidRPr="00834D4B">
              <w:t>ozwiązuje zadania 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</w:t>
            </w:r>
            <w:r w:rsidRPr="00834D4B">
              <w:lastRenderedPageBreak/>
              <w:t>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C91E4" w14:textId="77777777" w:rsidR="008E19AC" w:rsidRDefault="008E19AC" w:rsidP="00285D6F">
      <w:pPr>
        <w:spacing w:after="0" w:line="240" w:lineRule="auto"/>
      </w:pPr>
      <w:r>
        <w:separator/>
      </w:r>
    </w:p>
  </w:endnote>
  <w:endnote w:type="continuationSeparator" w:id="0">
    <w:p w14:paraId="2899DBC4" w14:textId="77777777" w:rsidR="008E19AC" w:rsidRDefault="008E19A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30F3C" w14:textId="77777777" w:rsidR="008E19AC" w:rsidRDefault="008E19AC" w:rsidP="00285D6F">
      <w:pPr>
        <w:spacing w:after="0" w:line="240" w:lineRule="auto"/>
      </w:pPr>
      <w:r>
        <w:separator/>
      </w:r>
    </w:p>
  </w:footnote>
  <w:footnote w:type="continuationSeparator" w:id="0">
    <w:p w14:paraId="3C0CEE06" w14:textId="77777777" w:rsidR="008E19AC" w:rsidRDefault="008E19AC" w:rsidP="0028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71FE5"/>
    <w:multiLevelType w:val="hybridMultilevel"/>
    <w:tmpl w:val="BD76F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30488"/>
    <w:multiLevelType w:val="hybridMultilevel"/>
    <w:tmpl w:val="E502F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F0A36"/>
    <w:multiLevelType w:val="hybridMultilevel"/>
    <w:tmpl w:val="B7E41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765B"/>
    <w:multiLevelType w:val="hybridMultilevel"/>
    <w:tmpl w:val="968AA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D53D8"/>
    <w:multiLevelType w:val="hybridMultilevel"/>
    <w:tmpl w:val="B83A3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469BB"/>
    <w:multiLevelType w:val="hybridMultilevel"/>
    <w:tmpl w:val="EBE67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83C1A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19AC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02A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13F93"/>
    <w:rsid w:val="00EA60D6"/>
    <w:rsid w:val="00EC12C2"/>
    <w:rsid w:val="00EC7048"/>
    <w:rsid w:val="00EF2F23"/>
    <w:rsid w:val="00F013C1"/>
    <w:rsid w:val="00F034B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9EBF-F9E5-4B3E-A07D-DC95F57E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2658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Oleństwo</cp:lastModifiedBy>
  <cp:revision>7</cp:revision>
  <dcterms:created xsi:type="dcterms:W3CDTF">2023-06-22T13:07:00Z</dcterms:created>
  <dcterms:modified xsi:type="dcterms:W3CDTF">2023-09-18T07:23:00Z</dcterms:modified>
</cp:coreProperties>
</file>